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5546A1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5546A1" w:rsidRDefault="005546A1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5546A1">
              <w:rPr>
                <w:rFonts w:ascii="Arial" w:hAnsi="Arial" w:cs="Arial"/>
                <w:b/>
                <w:caps/>
                <w:sz w:val="32"/>
                <w:szCs w:val="72"/>
              </w:rPr>
              <w:t>T04 - TÉCNICO DE ENFERMAGEM - 40H</w:t>
            </w:r>
          </w:p>
          <w:p w:rsidR="003B6CAA" w:rsidRPr="00211310" w:rsidRDefault="00211310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11310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5546A1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9F14CF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 w:rsidRPr="001A7EF6">
              <w:rPr>
                <w:rFonts w:ascii="Arial" w:hAnsi="Arial" w:cs="Arial"/>
                <w:b/>
                <w:color w:val="000000" w:themeColor="text1"/>
              </w:rPr>
              <w:t>“O essencial faz a vida valer a pena.” (Mário de Andrade</w:t>
            </w:r>
            <w:proofErr w:type="gramStart"/>
            <w:r w:rsidRPr="001A7EF6">
              <w:rPr>
                <w:rFonts w:ascii="Arial" w:hAnsi="Arial" w:cs="Arial"/>
                <w:b/>
                <w:color w:val="000000" w:themeColor="text1"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5546A1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5546A1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5546A1" w:rsidRDefault="005546A1" w:rsidP="005546A1">
      <w:pPr>
        <w:pStyle w:val="Disciplina"/>
        <w:keepNext/>
        <w:spacing w:before="0"/>
      </w:pPr>
      <w:r>
        <w:lastRenderedPageBreak/>
        <w:t xml:space="preserve">LÍNGUA PORTUGUESA 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211310">
        <w:rPr>
          <w:rFonts w:asciiTheme="minorHAnsi" w:hAnsiTheme="minorHAnsi" w:cstheme="minorHAnsi"/>
          <w:sz w:val="20"/>
          <w:szCs w:val="20"/>
        </w:rPr>
        <w:t>“</w:t>
      </w:r>
      <w:r w:rsidRPr="00211310">
        <w:rPr>
          <w:rFonts w:asciiTheme="minorHAnsi" w:hAnsiTheme="minorHAnsi" w:cstheme="minorHAnsi"/>
          <w:sz w:val="20"/>
          <w:szCs w:val="20"/>
        </w:rPr>
        <w:t>pequenez</w:t>
      </w:r>
      <w:r w:rsidR="00211310">
        <w:rPr>
          <w:rFonts w:asciiTheme="minorHAnsi" w:hAnsiTheme="minorHAnsi" w:cstheme="minorHAnsi"/>
          <w:sz w:val="20"/>
          <w:szCs w:val="20"/>
        </w:rPr>
        <w:t>”</w:t>
      </w:r>
      <w:r w:rsidRPr="00211310">
        <w:rPr>
          <w:rFonts w:asciiTheme="minorHAnsi" w:hAnsiTheme="minorHAnsi" w:cstheme="minorHAnsi"/>
          <w:sz w:val="20"/>
          <w:szCs w:val="20"/>
        </w:rPr>
        <w:t xml:space="preserve"> (1º parágrafo)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211310">
        <w:rPr>
          <w:rFonts w:asciiTheme="minorHAnsi" w:hAnsiTheme="minorHAnsi" w:cstheme="minorHAnsi"/>
          <w:sz w:val="20"/>
          <w:szCs w:val="20"/>
        </w:rPr>
        <w:t>“</w:t>
      </w:r>
      <w:r w:rsidRPr="00211310">
        <w:rPr>
          <w:rFonts w:asciiTheme="minorHAnsi" w:hAnsiTheme="minorHAnsi" w:cstheme="minorHAnsi"/>
          <w:sz w:val="20"/>
          <w:szCs w:val="20"/>
        </w:rPr>
        <w:t>ferramentas</w:t>
      </w:r>
      <w:r w:rsidR="00211310">
        <w:rPr>
          <w:rFonts w:asciiTheme="minorHAnsi" w:hAnsiTheme="minorHAnsi" w:cstheme="minorHAnsi"/>
          <w:sz w:val="20"/>
          <w:szCs w:val="20"/>
        </w:rPr>
        <w:t>”</w:t>
      </w:r>
      <w:r w:rsidRPr="00211310">
        <w:rPr>
          <w:rFonts w:asciiTheme="minorHAnsi" w:hAnsiTheme="minorHAnsi" w:cstheme="minorHAnsi"/>
          <w:sz w:val="20"/>
          <w:szCs w:val="20"/>
        </w:rPr>
        <w:t>( 2º parágrafo)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211310">
        <w:rPr>
          <w:rFonts w:asciiTheme="minorHAnsi" w:hAnsiTheme="minorHAnsi" w:cstheme="minorHAnsi"/>
          <w:sz w:val="20"/>
          <w:szCs w:val="20"/>
        </w:rPr>
        <w:t>“</w:t>
      </w:r>
      <w:r w:rsidRPr="00211310">
        <w:rPr>
          <w:rFonts w:asciiTheme="minorHAnsi" w:hAnsiTheme="minorHAnsi" w:cstheme="minorHAnsi"/>
          <w:sz w:val="20"/>
          <w:szCs w:val="20"/>
        </w:rPr>
        <w:t>comida</w:t>
      </w:r>
      <w:r w:rsidR="00211310">
        <w:rPr>
          <w:rFonts w:asciiTheme="minorHAnsi" w:hAnsiTheme="minorHAnsi" w:cstheme="minorHAnsi"/>
          <w:sz w:val="20"/>
          <w:szCs w:val="20"/>
        </w:rPr>
        <w:t>”</w:t>
      </w:r>
      <w:r w:rsidRPr="00211310">
        <w:rPr>
          <w:rFonts w:asciiTheme="minorHAnsi" w:hAnsiTheme="minorHAnsi" w:cstheme="minorHAnsi"/>
          <w:sz w:val="20"/>
          <w:szCs w:val="20"/>
        </w:rPr>
        <w:t>( 4º parágrafo)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211310">
        <w:rPr>
          <w:rFonts w:asciiTheme="minorHAnsi" w:hAnsiTheme="minorHAnsi" w:cstheme="minorHAnsi"/>
          <w:sz w:val="20"/>
          <w:szCs w:val="20"/>
        </w:rPr>
        <w:t>“</w:t>
      </w:r>
      <w:r w:rsidRPr="00211310">
        <w:rPr>
          <w:rFonts w:asciiTheme="minorHAnsi" w:hAnsiTheme="minorHAnsi" w:cstheme="minorHAnsi"/>
          <w:sz w:val="20"/>
          <w:szCs w:val="20"/>
        </w:rPr>
        <w:t>ingenuidade</w:t>
      </w:r>
      <w:r w:rsidR="00211310">
        <w:rPr>
          <w:rFonts w:asciiTheme="minorHAnsi" w:hAnsiTheme="minorHAnsi" w:cstheme="minorHAnsi"/>
          <w:sz w:val="20"/>
          <w:szCs w:val="20"/>
        </w:rPr>
        <w:t>”</w:t>
      </w:r>
      <w:r w:rsidRPr="00211310">
        <w:rPr>
          <w:rFonts w:asciiTheme="minorHAnsi" w:hAnsiTheme="minorHAnsi" w:cstheme="minorHAnsi"/>
          <w:sz w:val="20"/>
          <w:szCs w:val="20"/>
        </w:rPr>
        <w:t>( 6º parágrafo)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211310">
        <w:rPr>
          <w:rFonts w:asciiTheme="minorHAnsi" w:hAnsiTheme="minorHAnsi" w:cstheme="minorHAnsi"/>
          <w:sz w:val="20"/>
          <w:szCs w:val="20"/>
        </w:rPr>
        <w:t>“</w:t>
      </w:r>
      <w:r w:rsidRPr="00211310">
        <w:rPr>
          <w:rFonts w:asciiTheme="minorHAnsi" w:hAnsiTheme="minorHAnsi" w:cstheme="minorHAnsi"/>
          <w:sz w:val="20"/>
          <w:szCs w:val="20"/>
        </w:rPr>
        <w:t>estirada</w:t>
      </w:r>
      <w:r w:rsidR="00211310">
        <w:rPr>
          <w:rFonts w:asciiTheme="minorHAnsi" w:hAnsiTheme="minorHAnsi" w:cstheme="minorHAnsi"/>
          <w:sz w:val="20"/>
          <w:szCs w:val="20"/>
        </w:rPr>
        <w:t>”</w:t>
      </w:r>
      <w:r w:rsidRPr="00211310">
        <w:rPr>
          <w:rFonts w:asciiTheme="minorHAnsi" w:hAnsiTheme="minorHAnsi" w:cstheme="minorHAnsi"/>
          <w:sz w:val="20"/>
          <w:szCs w:val="20"/>
        </w:rPr>
        <w:t>( 6º parágrafo)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211310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nitidez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escassez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rispidez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5546A1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211310" w:rsidRPr="00211310" w:rsidRDefault="00211310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5546A1" w:rsidRPr="00211310" w:rsidRDefault="005546A1" w:rsidP="005546A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5546A1" w:rsidRPr="00211310" w:rsidRDefault="005546A1" w:rsidP="005546A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5546A1" w:rsidRPr="00211310" w:rsidRDefault="005546A1" w:rsidP="005546A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5546A1" w:rsidRDefault="005546A1" w:rsidP="005546A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211310" w:rsidRPr="00211310" w:rsidRDefault="00211310" w:rsidP="00211310">
      <w:pPr>
        <w:keepNext/>
        <w:keepLines/>
        <w:spacing w:before="40" w:after="20"/>
        <w:ind w:left="720"/>
        <w:contextualSpacing/>
        <w:rPr>
          <w:rFonts w:asciiTheme="minorHAnsi" w:hAnsiTheme="minorHAnsi" w:cstheme="minorHAnsi"/>
          <w:sz w:val="20"/>
          <w:szCs w:val="20"/>
        </w:rPr>
      </w:pPr>
    </w:p>
    <w:p w:rsidR="005546A1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Está correto:</w:t>
      </w:r>
    </w:p>
    <w:p w:rsidR="00211310" w:rsidRPr="00211310" w:rsidRDefault="00211310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5546A1" w:rsidRPr="00211310" w:rsidRDefault="005546A1" w:rsidP="005546A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5546A1" w:rsidRPr="00211310" w:rsidRDefault="005546A1" w:rsidP="005546A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211310">
        <w:rPr>
          <w:rFonts w:asciiTheme="minorHAnsi" w:hAnsiTheme="minorHAnsi" w:cstheme="minorHAnsi"/>
          <w:sz w:val="20"/>
          <w:szCs w:val="20"/>
        </w:rPr>
        <w:t> que eu não viajo.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Cem metros é muito.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5FF67CBA" wp14:editId="0E1BC902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310" w:rsidRDefault="00211310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211310" w:rsidRPr="00211310" w:rsidRDefault="00211310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="00211310">
        <w:rPr>
          <w:rFonts w:asciiTheme="minorHAnsi" w:hAnsiTheme="minorHAnsi" w:cstheme="minorHAnsi"/>
          <w:sz w:val="20"/>
          <w:szCs w:val="20"/>
        </w:rPr>
        <w:t>grauna</w:t>
      </w:r>
      <w:proofErr w:type="spellEnd"/>
      <w:r w:rsidR="00211310">
        <w:rPr>
          <w:rFonts w:asciiTheme="minorHAnsi" w:hAnsiTheme="minorHAnsi" w:cstheme="minorHAnsi"/>
          <w:sz w:val="20"/>
          <w:szCs w:val="20"/>
        </w:rPr>
        <w:t xml:space="preserve"> </w:t>
      </w:r>
      <w:r w:rsidRPr="00211310">
        <w:rPr>
          <w:rFonts w:asciiTheme="minorHAnsi" w:hAnsiTheme="minorHAnsi" w:cstheme="minorHAnsi"/>
          <w:sz w:val="20"/>
          <w:szCs w:val="20"/>
        </w:rPr>
        <w:t>- androide</w:t>
      </w:r>
      <w:r w:rsidR="00211310">
        <w:rPr>
          <w:rFonts w:asciiTheme="minorHAnsi" w:hAnsiTheme="minorHAnsi" w:cstheme="minorHAnsi"/>
          <w:sz w:val="20"/>
          <w:szCs w:val="20"/>
        </w:rPr>
        <w:t>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</w:t>
      </w:r>
      <w:r w:rsid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- </w:t>
      </w:r>
      <w:r w:rsidRP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mantem</w:t>
      </w:r>
      <w:r w:rsid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</w:t>
      </w:r>
      <w:r w:rsid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ideia </w:t>
      </w:r>
      <w:r w:rsid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-</w:t>
      </w:r>
      <w:r w:rsidRPr="00211310">
        <w:rPr>
          <w:rFonts w:asciiTheme="minorHAnsi" w:hAnsiTheme="minorHAnsi" w:cstheme="minorHAnsi"/>
          <w:sz w:val="20"/>
          <w:szCs w:val="20"/>
        </w:rPr>
        <w:t xml:space="preserve"> </w:t>
      </w:r>
      <w:r w:rsidR="00211310">
        <w:rPr>
          <w:rFonts w:asciiTheme="minorHAnsi" w:hAnsiTheme="minorHAnsi" w:cstheme="minorHAnsi"/>
          <w:sz w:val="20"/>
          <w:szCs w:val="20"/>
        </w:rPr>
        <w:t>heróis.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lcateia</w:t>
      </w:r>
      <w:r w:rsid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</w:t>
      </w:r>
      <w:r w:rsidRP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proofErr w:type="spellStart"/>
      <w:r w:rsidRP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.</w:t>
      </w:r>
      <w:r w:rsidRPr="00211310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211310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952EC0" w:rsidRDefault="005546A1" w:rsidP="005546A1">
      <w:pPr>
        <w:pStyle w:val="Enunciado"/>
        <w:rPr>
          <w:rFonts w:asciiTheme="minorHAnsi" w:hAnsiTheme="minorHAnsi"/>
          <w:sz w:val="20"/>
          <w:szCs w:val="20"/>
        </w:rPr>
      </w:pPr>
    </w:p>
    <w:p w:rsidR="005546A1" w:rsidRDefault="005546A1" w:rsidP="005546A1">
      <w:pPr>
        <w:pStyle w:val="Disciplina"/>
        <w:keepNext/>
        <w:spacing w:before="0"/>
      </w:pPr>
      <w:r>
        <w:br w:type="column"/>
      </w:r>
      <w:r>
        <w:lastRenderedPageBreak/>
        <w:t>CONHECIMENTOS DO SISTEMA ÚNICO DE SAÚDE</w:t>
      </w:r>
      <w:r w:rsidR="00211310">
        <w:t xml:space="preserve"> (SUS) / </w:t>
      </w:r>
      <w:r>
        <w:t>SAÚDE COLETIVA</w:t>
      </w: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De acordo com a Lei 8.142/90, o Sistema Único de Saúde (SUS), de que trata a Lei n° 8.080/90, contará, em cada esfera de governo, sem prejuízo das funções do Poder Legislativo, com as seguintes instâncias colegiadas: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5546A1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211310" w:rsidRPr="00211310" w:rsidRDefault="00211310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211310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11310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211310">
        <w:rPr>
          <w:rFonts w:asciiTheme="minorHAnsi" w:hAnsiTheme="minorHAnsi" w:cstheme="minorHAnsi"/>
          <w:sz w:val="20"/>
          <w:szCs w:val="20"/>
        </w:rPr>
        <w:t xml:space="preserve"> 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11310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) </w:t>
      </w:r>
      <w:r w:rsidRPr="00211310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11310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11310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11310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11310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5546A1" w:rsidRDefault="005546A1" w:rsidP="005546A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211310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211310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 , do Distrito Federal e dos Municípios;</w:t>
      </w:r>
    </w:p>
    <w:p w:rsidR="00211310" w:rsidRPr="00211310" w:rsidRDefault="00211310" w:rsidP="005546A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211310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11310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11310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211310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211310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11310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11310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211310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211310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11310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211310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211310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211310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211310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211310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211310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ab/>
        <w:t>V,V,V,,F,V.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211310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A Comissão Nacional sobre os Determinantes Sociais da Saúde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 os determinantes sociais da saúde (DSS) como os: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devem ser potencializados pelos serviços de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fatores relacionados à saúde e bem estar os quais se atribui causa e efeito às morbidades, doenças e agravos;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546A1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agravos”. O conceito descrito no texto refere-se a:</w:t>
      </w:r>
    </w:p>
    <w:p w:rsidR="00211310" w:rsidRPr="00211310" w:rsidRDefault="00211310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evento sentinela;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vigilância ambiental;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16</w:t>
      </w:r>
    </w:p>
    <w:p w:rsidR="005546A1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211310" w:rsidRPr="00211310" w:rsidRDefault="00211310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5546A1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211310" w:rsidRPr="00211310" w:rsidRDefault="00211310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O Plano Municipal de Saúde de Recife</w:t>
      </w:r>
      <w:proofErr w:type="gramStart"/>
      <w:r w:rsidRPr="00211310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211310">
        <w:rPr>
          <w:rFonts w:asciiTheme="minorHAnsi" w:hAnsiTheme="minorHAnsi" w:cstheme="minorHAnsi"/>
          <w:sz w:val="20"/>
          <w:szCs w:val="20"/>
        </w:rPr>
        <w:t xml:space="preserve"> os serviços da rede de atenção à saúde descritos na alternativa: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19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os gestores do SUS tem como compromisso a implementação de canais de internet para que o cidadão possa conferir sua marcação de atendimento;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20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211310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211310">
        <w:rPr>
          <w:rFonts w:asciiTheme="minorHAnsi" w:hAnsiTheme="minorHAnsi" w:cstheme="minorHAnsi"/>
          <w:sz w:val="20"/>
          <w:szCs w:val="20"/>
        </w:rPr>
        <w:t>”. Essa estratégia refere-se a: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valorização social;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vigilância em saúde.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5546A1" w:rsidRDefault="005546A1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211310" w:rsidRDefault="00211310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</w:p>
    <w:p w:rsidR="00211310" w:rsidRPr="00211310" w:rsidRDefault="00211310" w:rsidP="005546A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</w:p>
    <w:p w:rsidR="005546A1" w:rsidRDefault="00211310" w:rsidP="005546A1">
      <w:pPr>
        <w:pStyle w:val="Disciplina"/>
        <w:keepNext/>
        <w:spacing w:before="0"/>
      </w:pPr>
      <w:r>
        <w:t>CONHECIMENTOS ESPECÍFICOS</w:t>
      </w: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De acordo com o Código de Ética dos Profissionais de Enfermagem (Resolução COFEN nº 564/2017). Um exemplo de atitude considerada ética durante o exercício da profissão é: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ignorar a autonomia do paciente em decisões relacionadas à sua saúde;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registrar e assinar as ações de Enfermagem que não executou, bem como permitir que suas ações sejam assinadas por outro profissional;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administrar medicamentos sem prescrição médica ou de enfermagem;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respeitar a dignidade e os direitos do paciente, mantendo a privacidade e confidencialidade das informações;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negar assistência de enfermagem em situações de urgência, emergência, epidemia, desastre e catástrofe, desde que não ofereça risco à integridade física do profissional.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27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 xml:space="preserve">Durante uma crise de asma, ocorre uma obstrução das vias aéreas devido à contração dos músculos lisos bronquiais e ao acúmulo de muco. Uma forma de tratamento é a utilização dos </w:t>
      </w:r>
      <w:proofErr w:type="spellStart"/>
      <w:r w:rsidRPr="00211310">
        <w:rPr>
          <w:rFonts w:asciiTheme="minorHAnsi" w:hAnsiTheme="minorHAnsi"/>
          <w:sz w:val="20"/>
          <w:szCs w:val="20"/>
        </w:rPr>
        <w:t>broncodilatadores</w:t>
      </w:r>
      <w:proofErr w:type="spellEnd"/>
      <w:r w:rsidRPr="00211310">
        <w:rPr>
          <w:rFonts w:asciiTheme="minorHAnsi" w:hAnsiTheme="minorHAnsi"/>
          <w:sz w:val="20"/>
          <w:szCs w:val="20"/>
        </w:rPr>
        <w:t xml:space="preserve"> que possuem o papel de: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aumentar a produção de muco para facilitar a expectoração;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relaxar os músculos lisos das vias aéreas, dilatando-as;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reduzir a inflamação das vias aéreas;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promover a vasoconstrição dos vasos sanguíneos pulmonares;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estimular a produção de histamina para dilatar as vias aéreas.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 xml:space="preserve">O tratamento da Sífilis é feito, preferencialmente, por meio da administração intramuscular do </w:t>
      </w:r>
      <w:proofErr w:type="gramStart"/>
      <w:r w:rsidRPr="00211310">
        <w:rPr>
          <w:rFonts w:asciiTheme="minorHAnsi" w:hAnsiTheme="minorHAnsi"/>
          <w:sz w:val="20"/>
          <w:szCs w:val="20"/>
        </w:rPr>
        <w:t>antibiótico penicilina</w:t>
      </w:r>
      <w:proofErr w:type="gramEnd"/>
      <w:r w:rsidRPr="0021131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211310">
        <w:rPr>
          <w:rFonts w:asciiTheme="minorHAnsi" w:hAnsiTheme="minorHAnsi"/>
          <w:sz w:val="20"/>
          <w:szCs w:val="20"/>
        </w:rPr>
        <w:t>benzatina</w:t>
      </w:r>
      <w:proofErr w:type="spellEnd"/>
      <w:r w:rsidRPr="00211310">
        <w:rPr>
          <w:rFonts w:asciiTheme="minorHAnsi" w:hAnsiTheme="minorHAnsi"/>
          <w:sz w:val="20"/>
          <w:szCs w:val="20"/>
        </w:rPr>
        <w:t>, um dos cuidados de enfermagem é selecionar o local da injeção apropriado para evitar danos a estruturas adjacentes. A região considerada menos propensa a danos nervosos é: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211310">
        <w:rPr>
          <w:rFonts w:asciiTheme="minorHAnsi" w:hAnsiTheme="minorHAnsi"/>
          <w:sz w:val="20"/>
          <w:szCs w:val="20"/>
        </w:rPr>
        <w:t>deltóide</w:t>
      </w:r>
      <w:proofErr w:type="spellEnd"/>
      <w:r w:rsidRPr="00211310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211310">
        <w:rPr>
          <w:rFonts w:asciiTheme="minorHAnsi" w:hAnsiTheme="minorHAnsi"/>
          <w:sz w:val="20"/>
          <w:szCs w:val="20"/>
        </w:rPr>
        <w:t>dorsoglútea</w:t>
      </w:r>
      <w:proofErr w:type="spellEnd"/>
      <w:r w:rsidRPr="00211310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211310">
        <w:rPr>
          <w:rFonts w:asciiTheme="minorHAnsi" w:hAnsiTheme="minorHAnsi"/>
          <w:sz w:val="20"/>
          <w:szCs w:val="20"/>
        </w:rPr>
        <w:t>ventroglútea</w:t>
      </w:r>
      <w:proofErr w:type="spellEnd"/>
      <w:r w:rsidRPr="00211310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região vasto lateral da coxa;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região </w:t>
      </w:r>
      <w:proofErr w:type="spellStart"/>
      <w:r w:rsidRPr="00211310">
        <w:rPr>
          <w:rFonts w:asciiTheme="minorHAnsi" w:hAnsiTheme="minorHAnsi"/>
          <w:sz w:val="20"/>
          <w:szCs w:val="20"/>
        </w:rPr>
        <w:t>dorsoepitroclear</w:t>
      </w:r>
      <w:proofErr w:type="spellEnd"/>
      <w:r w:rsidRPr="00211310">
        <w:rPr>
          <w:rFonts w:asciiTheme="minorHAnsi" w:hAnsiTheme="minorHAnsi"/>
          <w:sz w:val="20"/>
          <w:szCs w:val="20"/>
        </w:rPr>
        <w:t>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 xml:space="preserve">O teste da prova do laço é uma técnica de triagem para a dengue, baseada na observação do aparecimento de </w:t>
      </w:r>
      <w:proofErr w:type="spellStart"/>
      <w:r w:rsidRPr="00211310">
        <w:rPr>
          <w:rFonts w:asciiTheme="minorHAnsi" w:hAnsiTheme="minorHAnsi"/>
          <w:sz w:val="20"/>
          <w:szCs w:val="20"/>
        </w:rPr>
        <w:t>petéquias</w:t>
      </w:r>
      <w:proofErr w:type="spellEnd"/>
      <w:r w:rsidRPr="00211310">
        <w:rPr>
          <w:rFonts w:asciiTheme="minorHAnsi" w:hAnsiTheme="minorHAnsi"/>
          <w:sz w:val="20"/>
          <w:szCs w:val="20"/>
        </w:rPr>
        <w:t xml:space="preserve"> após a aplicação de um manguito de pressão. A justificativa para a presença de </w:t>
      </w:r>
      <w:proofErr w:type="spellStart"/>
      <w:r w:rsidRPr="00211310">
        <w:rPr>
          <w:rFonts w:asciiTheme="minorHAnsi" w:hAnsiTheme="minorHAnsi"/>
          <w:sz w:val="20"/>
          <w:szCs w:val="20"/>
        </w:rPr>
        <w:t>petéquias</w:t>
      </w:r>
      <w:proofErr w:type="spellEnd"/>
      <w:r w:rsidRPr="00211310">
        <w:rPr>
          <w:rFonts w:asciiTheme="minorHAnsi" w:hAnsiTheme="minorHAnsi"/>
          <w:sz w:val="20"/>
          <w:szCs w:val="20"/>
        </w:rPr>
        <w:t xml:space="preserve"> nesse teste acontece </w:t>
      </w:r>
      <w:proofErr w:type="gramStart"/>
      <w:r w:rsidRPr="00211310">
        <w:rPr>
          <w:rFonts w:asciiTheme="minorHAnsi" w:hAnsiTheme="minorHAnsi"/>
          <w:sz w:val="20"/>
          <w:szCs w:val="20"/>
        </w:rPr>
        <w:t>porque</w:t>
      </w:r>
      <w:proofErr w:type="gramEnd"/>
      <w:r w:rsidRPr="00211310">
        <w:rPr>
          <w:rFonts w:asciiTheme="minorHAnsi" w:hAnsiTheme="minorHAnsi"/>
          <w:sz w:val="20"/>
          <w:szCs w:val="20"/>
        </w:rPr>
        <w:t>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 pressão do manguito induz a liberação de histamina pelos mastócitos, causando vasodilatação e extravasamento de células sanguíneas;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a pressão do manguito aumenta a agregação </w:t>
      </w:r>
      <w:proofErr w:type="spellStart"/>
      <w:r w:rsidRPr="00211310">
        <w:rPr>
          <w:rFonts w:asciiTheme="minorHAnsi" w:hAnsiTheme="minorHAnsi"/>
          <w:sz w:val="20"/>
          <w:szCs w:val="20"/>
        </w:rPr>
        <w:t>plaquetária</w:t>
      </w:r>
      <w:proofErr w:type="spellEnd"/>
      <w:r w:rsidRPr="00211310">
        <w:rPr>
          <w:rFonts w:asciiTheme="minorHAnsi" w:hAnsiTheme="minorHAnsi"/>
          <w:sz w:val="20"/>
          <w:szCs w:val="20"/>
        </w:rPr>
        <w:t xml:space="preserve">, resultando na formação de pequenos coágulos que se manifestam como </w:t>
      </w:r>
      <w:proofErr w:type="spellStart"/>
      <w:r w:rsidRPr="00211310">
        <w:rPr>
          <w:rFonts w:asciiTheme="minorHAnsi" w:hAnsiTheme="minorHAnsi"/>
          <w:sz w:val="20"/>
          <w:szCs w:val="20"/>
        </w:rPr>
        <w:t>petéquias</w:t>
      </w:r>
      <w:proofErr w:type="spellEnd"/>
      <w:r w:rsidRPr="00211310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a pressão do manguito estimula a liberação de </w:t>
      </w:r>
      <w:proofErr w:type="spellStart"/>
      <w:r w:rsidRPr="00211310">
        <w:rPr>
          <w:rFonts w:asciiTheme="minorHAnsi" w:hAnsiTheme="minorHAnsi"/>
          <w:sz w:val="20"/>
          <w:szCs w:val="20"/>
        </w:rPr>
        <w:t>citocinas</w:t>
      </w:r>
      <w:proofErr w:type="spellEnd"/>
      <w:r w:rsidRPr="00211310">
        <w:rPr>
          <w:rFonts w:asciiTheme="minorHAnsi" w:hAnsiTheme="minorHAnsi"/>
          <w:sz w:val="20"/>
          <w:szCs w:val="20"/>
        </w:rPr>
        <w:t xml:space="preserve"> inflamatórias, levando à dilatação dos vasos sanguíneos e extravasamento de células sanguíneas;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a pressão do manguito causa aumento da permeabilidade vascular, permitindo que os glóbulos vermelhos extravasem para os tecidos, formando </w:t>
      </w:r>
      <w:proofErr w:type="spellStart"/>
      <w:r w:rsidRPr="00211310">
        <w:rPr>
          <w:rFonts w:asciiTheme="minorHAnsi" w:hAnsiTheme="minorHAnsi"/>
          <w:sz w:val="20"/>
          <w:szCs w:val="20"/>
        </w:rPr>
        <w:t>petéquias</w:t>
      </w:r>
      <w:proofErr w:type="spellEnd"/>
      <w:r w:rsidRPr="00211310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 pressão do manguito leva à ruptura de pequenos vasos sanguíneos devido à fragilidade capilar causada pela dengue.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30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Durante a aferição da pressão arterial, existem cuidados para que o valor seja fidedigno. Sendo assim, as orientações que devem ser dadas ao paciente são: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solicitar que o paciente aguarde sentado por, no mínimo, 5 minutos antes da aferição;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garantir que a altura do braço esteja próxima ao nível do coração, com o paciente sentado na cadeira e com as pernas descruzadas e apoiadas no chão;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solicitar que o paciente esvazie a bexiga antes do procedimento de aferição;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solicitar ao paciente que mantenha os pés cruzados para evitar movimentos bruscos;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conversar e tirar as dúvidas durante a aferição, a fim de tranquilizar o paciente. 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Um paciente procura atendimento na Unidade Básica de Saúde referindo ideação suicida com planejamento e acesso à forma que planejou, informa que já tentou outras vezes. Durante a avaliação o paciente foi estratificado em “risco alto”, necessitando de alguns cuidados iniciais:</w:t>
      </w:r>
      <w:proofErr w:type="gramStart"/>
      <w:r w:rsidRPr="00211310">
        <w:rPr>
          <w:rFonts w:asciiTheme="minorHAnsi" w:hAnsiTheme="minorHAnsi"/>
          <w:sz w:val="20"/>
          <w:szCs w:val="20"/>
        </w:rPr>
        <w:t xml:space="preserve">  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acolher os sentimentos, não deixar a pessoa sozinha e encaminhar para o serviço de referência de urgência e emergência;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comunicar um familiar/responsável e agendar consulta de retorno;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E55BEC">
        <w:rPr>
          <w:rFonts w:asciiTheme="minorHAnsi" w:hAnsiTheme="minorHAnsi"/>
          <w:sz w:val="20"/>
          <w:szCs w:val="20"/>
        </w:rPr>
        <w:t>m</w:t>
      </w:r>
      <w:r w:rsidRPr="00211310">
        <w:rPr>
          <w:rFonts w:asciiTheme="minorHAnsi" w:hAnsiTheme="minorHAnsi"/>
          <w:sz w:val="20"/>
          <w:szCs w:val="20"/>
        </w:rPr>
        <w:t>anter o paciente em observação por algumas horas e liberá-lo caso se sinta melhor;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E55BEC">
        <w:rPr>
          <w:rFonts w:asciiTheme="minorHAnsi" w:hAnsiTheme="minorHAnsi"/>
          <w:sz w:val="20"/>
          <w:szCs w:val="20"/>
        </w:rPr>
        <w:t>o</w:t>
      </w:r>
      <w:r w:rsidRPr="00211310">
        <w:rPr>
          <w:rFonts w:asciiTheme="minorHAnsi" w:hAnsiTheme="minorHAnsi"/>
          <w:sz w:val="20"/>
          <w:szCs w:val="20"/>
        </w:rPr>
        <w:t>rientar o paciente a retornar à unidade somente se os sintomas piorarem;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E55BEC">
        <w:rPr>
          <w:rFonts w:asciiTheme="minorHAnsi" w:hAnsiTheme="minorHAnsi"/>
          <w:sz w:val="20"/>
          <w:szCs w:val="20"/>
        </w:rPr>
        <w:t>e</w:t>
      </w:r>
      <w:r w:rsidRPr="00211310">
        <w:rPr>
          <w:rFonts w:asciiTheme="minorHAnsi" w:hAnsiTheme="minorHAnsi"/>
          <w:sz w:val="20"/>
          <w:szCs w:val="20"/>
        </w:rPr>
        <w:t>ncaminhar o paciente para acompanhamento psiquiátrico apenas se houver disponibilidade de vagas.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Um paciente procura atendimento em uma Unidade Básica de Saúde com suspeita de caxumba. Com isso, você precisará utilizar equipamentos de proteção individual conforme o tipo de precaução: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padrão;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de contato;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para gotículas;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para aerossóis;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de isolamento.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33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O Centro de Material de Esterilização é um importante setor para a garantia da qualidade e segurança da assistência prestada. Ao receber um material contaminado no setor, a primeira etapa do processo de esterilização será: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embalagem dos materiais;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seleção dos materiais a serem esterilizados;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inspeção visual dos materiais;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limpeza dos materiais;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colocação dos materiais no autoclave. 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Um fármaco amplamente utilizado para o alívio da dor é a dipirona, podendo ser administrado pela via oral, intramuscular e intravenosa. Você atende um paciente com prescrição de dipirona por via endovenosa e as principais precauções que devem ser observadas ao administrar esse fármaco são: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administrar o medicamento rapidamente, a fim de obter o efeito mais rápido;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aquecer o fármaco antes da administração para reduzir o desconforto no local da injeção;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administrar o medicamento lentamente e monitorar os sinais vitais do paciente, a fim de diminuir os riscos de efeitos colaterais durante a administração;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administrar o medicamento apenas em horários específicos do dia, evitando momentos em que o paciente esteja em jejum;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administrar o medicamento sem diluir, a fim de obter o efeito mais rápido. 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No pré-operatório de cirurgia cardíaca, você observa que o paciente tem antecedentes de alergia ao látex. A medida mais apropriada que a equipe de enfermagem deve tomar para garantir a segurança do paciente durante o procedimento cirúrgico é: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utilizar luvas de látex durante a cirurgia, mas monitorar de perto o paciente quanto a reações alérgicas;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informar ao paciente que não há alternativas ao uso de materiais de látex durante a cirurgia;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solicitar ao cirurgião que utilize materiais de látex sintético durante o procedimento;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utilizar materiais cirúrgicos livres de látex durante toda a operação;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administrar medicação antialérgica antes do procedimento para prevenir reações alérgicas.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36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Considerando a Política Nacional de Promoção da Saúde, Portaria de C</w:t>
      </w:r>
      <w:r w:rsidR="00E55BEC">
        <w:rPr>
          <w:rFonts w:asciiTheme="minorHAnsi" w:hAnsiTheme="minorHAnsi"/>
          <w:sz w:val="20"/>
          <w:szCs w:val="20"/>
        </w:rPr>
        <w:t xml:space="preserve">onsolidação </w:t>
      </w:r>
      <w:r w:rsidRPr="00211310">
        <w:rPr>
          <w:rFonts w:asciiTheme="minorHAnsi" w:hAnsiTheme="minorHAnsi"/>
          <w:sz w:val="20"/>
          <w:szCs w:val="20"/>
        </w:rPr>
        <w:t>nº</w:t>
      </w:r>
      <w:r w:rsidR="00E55BEC">
        <w:rPr>
          <w:rFonts w:asciiTheme="minorHAnsi" w:hAnsiTheme="minorHAnsi"/>
          <w:sz w:val="20"/>
          <w:szCs w:val="20"/>
        </w:rPr>
        <w:t xml:space="preserve"> </w:t>
      </w:r>
      <w:r w:rsidRPr="00211310">
        <w:rPr>
          <w:rFonts w:asciiTheme="minorHAnsi" w:hAnsiTheme="minorHAnsi"/>
          <w:sz w:val="20"/>
          <w:szCs w:val="20"/>
        </w:rPr>
        <w:t>2, de 28 de setembro de 2017, é tema considerado prioritário: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promoção da cultura da paz e dos direitos humanos;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imunização;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controle de diabetes e hipertensão;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saúde mental;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educação continuada.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São eixos estratégicos da Política Nacional de Educação Popular em Saúde - SUS:</w:t>
      </w:r>
    </w:p>
    <w:p w:rsidR="005546A1" w:rsidRPr="00211310" w:rsidRDefault="005546A1" w:rsidP="006B3C0C">
      <w:pPr>
        <w:keepNext/>
        <w:keepLines/>
        <w:spacing w:before="40"/>
        <w:jc w:val="left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br/>
        <w:t>I - participação, controle social e gestão participativa;</w:t>
      </w:r>
      <w:r w:rsidRPr="00211310">
        <w:rPr>
          <w:rFonts w:asciiTheme="minorHAnsi" w:hAnsiTheme="minorHAnsi"/>
          <w:sz w:val="20"/>
          <w:szCs w:val="20"/>
        </w:rPr>
        <w:br/>
        <w:t xml:space="preserve">II - formação, comunicação </w:t>
      </w:r>
      <w:r w:rsidR="006B3C0C">
        <w:rPr>
          <w:rFonts w:asciiTheme="minorHAnsi" w:hAnsiTheme="minorHAnsi"/>
          <w:sz w:val="20"/>
          <w:szCs w:val="20"/>
        </w:rPr>
        <w:t>e produção de conhecimento;</w:t>
      </w:r>
      <w:r w:rsidR="006B3C0C">
        <w:rPr>
          <w:rFonts w:asciiTheme="minorHAnsi" w:hAnsiTheme="minorHAnsi"/>
          <w:sz w:val="20"/>
          <w:szCs w:val="20"/>
        </w:rPr>
        <w:br/>
        <w:t>III</w:t>
      </w:r>
      <w:r w:rsidRPr="00211310">
        <w:rPr>
          <w:rFonts w:asciiTheme="minorHAnsi" w:hAnsiTheme="minorHAnsi"/>
          <w:sz w:val="20"/>
          <w:szCs w:val="20"/>
        </w:rPr>
        <w:t>- cuidado em saúde; e</w:t>
      </w:r>
      <w:r w:rsidRPr="00211310">
        <w:rPr>
          <w:rFonts w:asciiTheme="minorHAnsi" w:hAnsiTheme="minorHAnsi"/>
          <w:sz w:val="20"/>
          <w:szCs w:val="20"/>
        </w:rPr>
        <w:br/>
        <w:t xml:space="preserve">IV - </w:t>
      </w:r>
      <w:proofErr w:type="spellStart"/>
      <w:r w:rsidRPr="00211310">
        <w:rPr>
          <w:rFonts w:asciiTheme="minorHAnsi" w:hAnsiTheme="minorHAnsi"/>
          <w:sz w:val="20"/>
          <w:szCs w:val="20"/>
        </w:rPr>
        <w:t>territorialização</w:t>
      </w:r>
      <w:proofErr w:type="spellEnd"/>
      <w:r w:rsidRPr="00211310">
        <w:rPr>
          <w:rFonts w:asciiTheme="minorHAnsi" w:hAnsiTheme="minorHAnsi"/>
          <w:sz w:val="20"/>
          <w:szCs w:val="20"/>
        </w:rPr>
        <w:t>.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I e II estão corretas;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I, II e III estão corretas;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I, II, III e IV estão corretas;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II e III estão correta;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II, III e IV estão corretas. 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Os cuidados com o sítio de inserção do cateter venoso periférico são fundamentais para prevenir complicações como flebite e infecções. Um dos cuidados é com o intervalo de troca do cateter venoso periférico, podendo permanecer até: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12 horas;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24 horas;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48 horas;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72 horas;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96 horas.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 xml:space="preserve">Em uma unidade hospitalar o técnico de enfermagem recebe uma prescrição de Penicilina Cristalina, 4.500.000 UI, tem-se apenas frasco ampola de 5.000.000 UI. O técnico de Enfermagem utilizará </w:t>
      </w:r>
      <w:proofErr w:type="gramStart"/>
      <w:r w:rsidRPr="00211310">
        <w:rPr>
          <w:rFonts w:asciiTheme="minorHAnsi" w:hAnsiTheme="minorHAnsi"/>
          <w:sz w:val="20"/>
          <w:szCs w:val="20"/>
        </w:rPr>
        <w:t>8ml</w:t>
      </w:r>
      <w:proofErr w:type="gramEnd"/>
      <w:r w:rsidRPr="00211310">
        <w:rPr>
          <w:rFonts w:asciiTheme="minorHAnsi" w:hAnsiTheme="minorHAnsi"/>
          <w:sz w:val="20"/>
          <w:szCs w:val="20"/>
        </w:rPr>
        <w:t xml:space="preserve"> de água destilada para diluir, pois o fabricante informa que 2ml são de soluto de cristais do próprio fármaco. Para obter 4.500.000 UI deve-se aspirar da solução: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6ml;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7ml;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8ml;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9ml;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9,5ml.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40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Um paciente apresenta uma lesão cutânea que está descamando e apresentando hiperemia. A lesão afeta apenas a camada mais superficial da pele. A camada da pele que está comprometida é: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derme;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estrato córneo;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estrato granuloso;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tecido adiposo subcutâneo;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epiderme.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Um paciente necessita da aplicação de um medicamento por via subcutânea. Considerando que espessura do tecido subcutâneo nessa região é moderada, o ângulo de inserção mais apropriado para garantir uma administração segura é: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45º graus;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60º graus;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90º graus;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30º graus;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15º graus.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 xml:space="preserve">Na Unidade Básica de Saúde você recebeu um paciente com prescrição de Insulina NPH, 30 UI, com apresentação do frasco em 100UI/ml. Contudo, na unidade possui apenas seringa de </w:t>
      </w:r>
      <w:proofErr w:type="gramStart"/>
      <w:r w:rsidRPr="00211310">
        <w:rPr>
          <w:rFonts w:asciiTheme="minorHAnsi" w:hAnsiTheme="minorHAnsi"/>
          <w:sz w:val="20"/>
          <w:szCs w:val="20"/>
        </w:rPr>
        <w:t>3ml</w:t>
      </w:r>
      <w:proofErr w:type="gramEnd"/>
      <w:r w:rsidRPr="00211310">
        <w:rPr>
          <w:rFonts w:asciiTheme="minorHAnsi" w:hAnsiTheme="minorHAnsi"/>
          <w:sz w:val="20"/>
          <w:szCs w:val="20"/>
        </w:rPr>
        <w:t>. A quantidade em ml a ser aspirado de insulina NPH para obter 30 UI será de: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0,2ml;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0,3ml;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0,4ml;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0,5ml;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0,6ml.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Uma gestante comparece à sala de vacinas para orientações sobre o calendário vacinal recomendado durante a gravidez. Considerando</w:t>
      </w:r>
      <w:r w:rsidR="006B3C0C">
        <w:rPr>
          <w:rFonts w:asciiTheme="minorHAnsi" w:hAnsiTheme="minorHAnsi"/>
          <w:sz w:val="20"/>
          <w:szCs w:val="20"/>
        </w:rPr>
        <w:t>-se</w:t>
      </w:r>
      <w:r w:rsidRPr="00211310">
        <w:rPr>
          <w:rFonts w:asciiTheme="minorHAnsi" w:hAnsiTheme="minorHAnsi"/>
          <w:sz w:val="20"/>
          <w:szCs w:val="20"/>
        </w:rPr>
        <w:t xml:space="preserve"> as recomendações atuais, as vacinas recomendadas durante a gestação são: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hepatite B, Influenza, tétano e difteria (</w:t>
      </w:r>
      <w:proofErr w:type="spellStart"/>
      <w:r w:rsidRPr="00211310">
        <w:rPr>
          <w:rFonts w:asciiTheme="minorHAnsi" w:hAnsiTheme="minorHAnsi"/>
          <w:sz w:val="20"/>
          <w:szCs w:val="20"/>
        </w:rPr>
        <w:t>dT</w:t>
      </w:r>
      <w:proofErr w:type="spellEnd"/>
      <w:r w:rsidRPr="00211310">
        <w:rPr>
          <w:rFonts w:asciiTheme="minorHAnsi" w:hAnsiTheme="minorHAnsi"/>
          <w:sz w:val="20"/>
          <w:szCs w:val="20"/>
        </w:rPr>
        <w:t>) e Covid-19.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hepatite B, hepatite A, tétano e difteria (</w:t>
      </w:r>
      <w:proofErr w:type="spellStart"/>
      <w:r w:rsidRPr="00211310">
        <w:rPr>
          <w:rFonts w:asciiTheme="minorHAnsi" w:hAnsiTheme="minorHAnsi"/>
          <w:sz w:val="20"/>
          <w:szCs w:val="20"/>
        </w:rPr>
        <w:t>dT</w:t>
      </w:r>
      <w:proofErr w:type="spellEnd"/>
      <w:r w:rsidRPr="00211310">
        <w:rPr>
          <w:rFonts w:asciiTheme="minorHAnsi" w:hAnsiTheme="minorHAnsi"/>
          <w:sz w:val="20"/>
          <w:szCs w:val="20"/>
        </w:rPr>
        <w:t>) e Covid-19.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hepatite B, influenza, febre amarela e Covid-19.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hepatite B, Influenza, febre amarela, tríplice bacteriana acelular (</w:t>
      </w:r>
      <w:proofErr w:type="spellStart"/>
      <w:r w:rsidRPr="00211310">
        <w:rPr>
          <w:rFonts w:asciiTheme="minorHAnsi" w:hAnsiTheme="minorHAnsi"/>
          <w:sz w:val="20"/>
          <w:szCs w:val="20"/>
        </w:rPr>
        <w:t>dTpa</w:t>
      </w:r>
      <w:proofErr w:type="spellEnd"/>
      <w:r w:rsidRPr="00211310">
        <w:rPr>
          <w:rFonts w:asciiTheme="minorHAnsi" w:hAnsiTheme="minorHAnsi"/>
          <w:sz w:val="20"/>
          <w:szCs w:val="20"/>
        </w:rPr>
        <w:t>) e Covid-19.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hepatite B, influenza, tétano e difteria (</w:t>
      </w:r>
      <w:proofErr w:type="spellStart"/>
      <w:r w:rsidRPr="00211310">
        <w:rPr>
          <w:rFonts w:asciiTheme="minorHAnsi" w:hAnsiTheme="minorHAnsi"/>
          <w:sz w:val="20"/>
          <w:szCs w:val="20"/>
        </w:rPr>
        <w:t>dT</w:t>
      </w:r>
      <w:proofErr w:type="spellEnd"/>
      <w:r w:rsidRPr="00211310">
        <w:rPr>
          <w:rFonts w:asciiTheme="minorHAnsi" w:hAnsiTheme="minorHAnsi"/>
          <w:sz w:val="20"/>
          <w:szCs w:val="20"/>
        </w:rPr>
        <w:t>), tríplice bacteriana acelular (</w:t>
      </w:r>
      <w:proofErr w:type="spellStart"/>
      <w:r w:rsidRPr="00211310">
        <w:rPr>
          <w:rFonts w:asciiTheme="minorHAnsi" w:hAnsiTheme="minorHAnsi"/>
          <w:sz w:val="20"/>
          <w:szCs w:val="20"/>
        </w:rPr>
        <w:t>dTpa</w:t>
      </w:r>
      <w:proofErr w:type="spellEnd"/>
      <w:r w:rsidRPr="00211310">
        <w:rPr>
          <w:rFonts w:asciiTheme="minorHAnsi" w:hAnsiTheme="minorHAnsi"/>
          <w:sz w:val="20"/>
          <w:szCs w:val="20"/>
        </w:rPr>
        <w:t>) e Covid-19.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Após o nascimento via parto vaginal sem complicações, é indicado que o</w:t>
      </w:r>
      <w:proofErr w:type="gramStart"/>
      <w:r w:rsidRPr="00211310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211310">
        <w:rPr>
          <w:rFonts w:asciiTheme="minorHAnsi" w:hAnsiTheme="minorHAnsi"/>
          <w:sz w:val="20"/>
          <w:szCs w:val="20"/>
        </w:rPr>
        <w:t>recém-nascido tome o primeiro banho, no mínimo: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6 horas após o nascimento;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12 horas após o nascimento;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24 horas após o nascimento;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36 horas após o nascimento;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48 horas após o nascimento.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Em uma unidade de saúde, um enfermeiro está revisando os procedimentos de administração de medicamentos com sua equipe. Ele destaca a importância dos "</w:t>
      </w:r>
      <w:proofErr w:type="gramStart"/>
      <w:r w:rsidRPr="00211310">
        <w:rPr>
          <w:rFonts w:asciiTheme="minorHAnsi" w:hAnsiTheme="minorHAnsi"/>
          <w:sz w:val="20"/>
          <w:szCs w:val="20"/>
        </w:rPr>
        <w:t>9</w:t>
      </w:r>
      <w:proofErr w:type="gramEnd"/>
      <w:r w:rsidRPr="00211310">
        <w:rPr>
          <w:rFonts w:asciiTheme="minorHAnsi" w:hAnsiTheme="minorHAnsi"/>
          <w:sz w:val="20"/>
          <w:szCs w:val="20"/>
        </w:rPr>
        <w:t xml:space="preserve"> certos" da medicação para ga</w:t>
      </w:r>
      <w:r w:rsidR="008B065E">
        <w:rPr>
          <w:rFonts w:asciiTheme="minorHAnsi" w:hAnsiTheme="minorHAnsi"/>
          <w:sz w:val="20"/>
          <w:szCs w:val="20"/>
        </w:rPr>
        <w:t>rantir a segurança do paciente. S</w:t>
      </w:r>
      <w:r w:rsidRPr="00211310">
        <w:rPr>
          <w:rFonts w:asciiTheme="minorHAnsi" w:hAnsiTheme="minorHAnsi"/>
          <w:sz w:val="20"/>
          <w:szCs w:val="20"/>
        </w:rPr>
        <w:t>ão eles: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medicação certa; paciente certo; dose certa; via certa; horário certo; registro certo; ação certa; forma farmacêutica certa; monitoramento certo;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medicação certa; paciente certo; dose certa; via certa; horário certo; registro certo; abordagem certa; forma farmacêutica certa; frequência certa;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medicação certa; equipamento de proteção individual certo; dose certa; via certa; horário certo; registro certo; abordagem certa; forma farmacêutic</w:t>
      </w:r>
      <w:r w:rsidR="008B065E">
        <w:rPr>
          <w:rFonts w:asciiTheme="minorHAnsi" w:hAnsiTheme="minorHAnsi"/>
          <w:sz w:val="20"/>
          <w:szCs w:val="20"/>
        </w:rPr>
        <w:t>a certa; e, monitoramento certo;</w:t>
      </w:r>
      <w:r w:rsidRPr="00211310">
        <w:rPr>
          <w:rFonts w:asciiTheme="minorHAnsi" w:hAnsiTheme="minorHAnsi"/>
          <w:sz w:val="20"/>
          <w:szCs w:val="20"/>
        </w:rPr>
        <w:t xml:space="preserve"> 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medicação certa; lavagem de mãos certa; paciente certo; dose certa; via certa; horário certo; registro certo; abordagem certa; forma farmacêutica certa;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 xml:space="preserve">medicação certa; paciente certo; dose certa; via certa; horário certo; registro certo; pulseira de identificação certa; forma farmacêutica certa; monitoramento certo. 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Durante uma investigação epidemiológica de um surto de gastroenterite em uma comunidade rural, uma equipe de saúde coleta amostras de água potável para análise microbiológica. Após realizar os testes laboratoriais, é detectada a presença de um microrganismo gram-negativo, flagelado e com formato de vírgula. O patógeno mais provável de estar causando o surto é: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="008B065E">
        <w:rPr>
          <w:rFonts w:asciiTheme="minorHAnsi" w:hAnsiTheme="minorHAnsi"/>
          <w:sz w:val="20"/>
          <w:szCs w:val="20"/>
        </w:rPr>
        <w:t>campylobacter</w:t>
      </w:r>
      <w:proofErr w:type="spellEnd"/>
      <w:r w:rsidR="008B065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B065E">
        <w:rPr>
          <w:rFonts w:asciiTheme="minorHAnsi" w:hAnsiTheme="minorHAnsi"/>
          <w:sz w:val="20"/>
          <w:szCs w:val="20"/>
        </w:rPr>
        <w:t>jejuni</w:t>
      </w:r>
      <w:proofErr w:type="spellEnd"/>
      <w:r w:rsidR="008B065E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="008B065E">
        <w:rPr>
          <w:rFonts w:asciiTheme="minorHAnsi" w:hAnsiTheme="minorHAnsi"/>
          <w:sz w:val="20"/>
          <w:szCs w:val="20"/>
        </w:rPr>
        <w:t>escherichia</w:t>
      </w:r>
      <w:proofErr w:type="spellEnd"/>
      <w:r w:rsidR="008B065E">
        <w:rPr>
          <w:rFonts w:asciiTheme="minorHAnsi" w:hAnsiTheme="minorHAnsi"/>
          <w:sz w:val="20"/>
          <w:szCs w:val="20"/>
        </w:rPr>
        <w:t xml:space="preserve"> coli </w:t>
      </w:r>
      <w:proofErr w:type="spellStart"/>
      <w:r w:rsidR="008B065E">
        <w:rPr>
          <w:rFonts w:asciiTheme="minorHAnsi" w:hAnsiTheme="minorHAnsi"/>
          <w:sz w:val="20"/>
          <w:szCs w:val="20"/>
        </w:rPr>
        <w:t>enteroinvasiva</w:t>
      </w:r>
      <w:proofErr w:type="spellEnd"/>
      <w:r w:rsidR="008B065E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="008B065E">
        <w:rPr>
          <w:rFonts w:asciiTheme="minorHAnsi" w:hAnsiTheme="minorHAnsi"/>
          <w:sz w:val="20"/>
          <w:szCs w:val="20"/>
        </w:rPr>
        <w:t>vibrio</w:t>
      </w:r>
      <w:proofErr w:type="spellEnd"/>
      <w:r w:rsidR="008B065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B065E">
        <w:rPr>
          <w:rFonts w:asciiTheme="minorHAnsi" w:hAnsiTheme="minorHAnsi"/>
          <w:sz w:val="20"/>
          <w:szCs w:val="20"/>
        </w:rPr>
        <w:t>cholerae</w:t>
      </w:r>
      <w:proofErr w:type="spellEnd"/>
      <w:r w:rsidR="008B065E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="008B065E">
        <w:rPr>
          <w:rFonts w:asciiTheme="minorHAnsi" w:hAnsiTheme="minorHAnsi"/>
          <w:sz w:val="20"/>
          <w:szCs w:val="20"/>
        </w:rPr>
        <w:t>salmonella</w:t>
      </w:r>
      <w:proofErr w:type="spellEnd"/>
      <w:r w:rsidR="008B065E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8B065E">
        <w:rPr>
          <w:rFonts w:asciiTheme="minorHAnsi" w:hAnsiTheme="minorHAnsi"/>
          <w:sz w:val="20"/>
          <w:szCs w:val="20"/>
        </w:rPr>
        <w:t>spp</w:t>
      </w:r>
      <w:proofErr w:type="spellEnd"/>
      <w:r w:rsidR="008B065E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211310">
        <w:rPr>
          <w:rFonts w:asciiTheme="minorHAnsi" w:hAnsiTheme="minorHAnsi"/>
          <w:sz w:val="20"/>
          <w:szCs w:val="20"/>
        </w:rPr>
        <w:t>shigella</w:t>
      </w:r>
      <w:proofErr w:type="spellEnd"/>
      <w:r w:rsidRPr="00211310">
        <w:rPr>
          <w:rFonts w:asciiTheme="minorHAnsi" w:hAnsiTheme="minorHAnsi"/>
          <w:sz w:val="20"/>
          <w:szCs w:val="20"/>
        </w:rPr>
        <w:t xml:space="preserve"> spp.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 xml:space="preserve">Durante o plantão, é </w:t>
      </w:r>
      <w:proofErr w:type="gramStart"/>
      <w:r w:rsidRPr="00211310">
        <w:rPr>
          <w:rFonts w:asciiTheme="minorHAnsi" w:hAnsiTheme="minorHAnsi"/>
          <w:sz w:val="20"/>
          <w:szCs w:val="20"/>
        </w:rPr>
        <w:t>solicitado</w:t>
      </w:r>
      <w:proofErr w:type="gramEnd"/>
      <w:r w:rsidRPr="00211310">
        <w:rPr>
          <w:rFonts w:asciiTheme="minorHAnsi" w:hAnsiTheme="minorHAnsi"/>
          <w:sz w:val="20"/>
          <w:szCs w:val="20"/>
        </w:rPr>
        <w:t xml:space="preserve"> a realização do exame eletrocardiograma. A posição correta dos eletrodos no tórax do paciente contribui para melhor interpretação do achado ecocardiográfico. Sendo </w:t>
      </w:r>
      <w:r w:rsidR="008B065E">
        <w:rPr>
          <w:rFonts w:asciiTheme="minorHAnsi" w:hAnsiTheme="minorHAnsi"/>
          <w:sz w:val="20"/>
          <w:szCs w:val="20"/>
        </w:rPr>
        <w:t>assim, a posição do eletrodo V2</w:t>
      </w:r>
      <w:bookmarkStart w:id="0" w:name="_GoBack"/>
      <w:bookmarkEnd w:id="0"/>
      <w:r w:rsidRPr="00211310">
        <w:rPr>
          <w:rFonts w:asciiTheme="minorHAnsi" w:hAnsiTheme="minorHAnsi"/>
          <w:sz w:val="20"/>
          <w:szCs w:val="20"/>
        </w:rPr>
        <w:t xml:space="preserve"> situa-se: 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no 4º espaço intercostal direito;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no 4º espaço intercostal esquerdo;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no 5º espaço intercostal direito;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no 5º espaço intercostal esquerdo;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na linha axilar anterior.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 xml:space="preserve">Durante a pandemia de Covid-19 um dos sintomas relatados pelos pacientes era a </w:t>
      </w:r>
      <w:proofErr w:type="spellStart"/>
      <w:r w:rsidRPr="00211310">
        <w:rPr>
          <w:rFonts w:asciiTheme="minorHAnsi" w:hAnsiTheme="minorHAnsi"/>
          <w:sz w:val="20"/>
          <w:szCs w:val="20"/>
        </w:rPr>
        <w:t>anosmia</w:t>
      </w:r>
      <w:proofErr w:type="spellEnd"/>
      <w:r w:rsidRPr="00211310">
        <w:rPr>
          <w:rFonts w:asciiTheme="minorHAnsi" w:hAnsiTheme="minorHAnsi"/>
          <w:sz w:val="20"/>
          <w:szCs w:val="20"/>
        </w:rPr>
        <w:t>. Esse sintoma é explicado pela: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perda completa do paladar;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perda completa do olfato;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perda parcial do paladar;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perda parcial do olfato;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perda completa do paladar e do olfato.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 xml:space="preserve">Durante a consulta de um paciente com histórico de hipertensão arterial, o enfermeiro verifica seus exames laboratoriais e observa um aumento significativo nos níveis de </w:t>
      </w:r>
      <w:proofErr w:type="spellStart"/>
      <w:r w:rsidRPr="00211310">
        <w:rPr>
          <w:rFonts w:asciiTheme="minorHAnsi" w:hAnsiTheme="minorHAnsi"/>
          <w:sz w:val="20"/>
          <w:szCs w:val="20"/>
        </w:rPr>
        <w:t>aldosterona</w:t>
      </w:r>
      <w:proofErr w:type="spellEnd"/>
      <w:r w:rsidRPr="00211310">
        <w:rPr>
          <w:rFonts w:asciiTheme="minorHAnsi" w:hAnsiTheme="minorHAnsi"/>
          <w:sz w:val="20"/>
          <w:szCs w:val="20"/>
        </w:rPr>
        <w:t xml:space="preserve">. A </w:t>
      </w:r>
      <w:proofErr w:type="spellStart"/>
      <w:r w:rsidRPr="00211310">
        <w:rPr>
          <w:rFonts w:asciiTheme="minorHAnsi" w:hAnsiTheme="minorHAnsi"/>
          <w:sz w:val="20"/>
          <w:szCs w:val="20"/>
        </w:rPr>
        <w:t>aldosterona</w:t>
      </w:r>
      <w:proofErr w:type="spellEnd"/>
      <w:r w:rsidRPr="00211310">
        <w:rPr>
          <w:rFonts w:asciiTheme="minorHAnsi" w:hAnsiTheme="minorHAnsi"/>
          <w:sz w:val="20"/>
          <w:szCs w:val="20"/>
        </w:rPr>
        <w:t xml:space="preserve"> possui o efeito de: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vasodilatação generalizada;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redução da retenção de líquidos pelo organismo;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diminuição da pressão arterial;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redução da atividade do sistema renina-angiotensina-</w:t>
      </w:r>
      <w:proofErr w:type="spellStart"/>
      <w:r w:rsidRPr="00211310">
        <w:rPr>
          <w:rFonts w:asciiTheme="minorHAnsi" w:hAnsiTheme="minorHAnsi"/>
          <w:sz w:val="20"/>
          <w:szCs w:val="20"/>
        </w:rPr>
        <w:t>aldosterona</w:t>
      </w:r>
      <w:proofErr w:type="spellEnd"/>
      <w:r w:rsidRPr="00211310">
        <w:rPr>
          <w:rFonts w:asciiTheme="minorHAnsi" w:hAnsiTheme="minorHAnsi"/>
          <w:sz w:val="20"/>
          <w:szCs w:val="20"/>
        </w:rPr>
        <w:t>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diminuição da reabsorção de sódio nos rins.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546A1" w:rsidRPr="00211310" w:rsidRDefault="005546A1" w:rsidP="005546A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211310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5546A1" w:rsidRPr="00211310" w:rsidRDefault="005546A1" w:rsidP="005546A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/>
          <w:sz w:val="20"/>
          <w:szCs w:val="20"/>
        </w:rPr>
        <w:t>Durante a reanimação cardiopulmonar no adulto a proporção de compressões torácicas e ventilação são:</w:t>
      </w:r>
    </w:p>
    <w:p w:rsidR="005546A1" w:rsidRPr="00211310" w:rsidRDefault="005546A1" w:rsidP="005546A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15 compressões para 1 ventilação;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30 compressões para 1 ventilação;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15 compressões para 2 ventilações;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30 compressões para 2 ventilações;</w:t>
      </w:r>
    </w:p>
    <w:p w:rsidR="005546A1" w:rsidRPr="00211310" w:rsidRDefault="005546A1" w:rsidP="005546A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21131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21131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21131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211310">
        <w:rPr>
          <w:rFonts w:asciiTheme="minorHAnsi" w:hAnsiTheme="minorHAnsi"/>
          <w:sz w:val="20"/>
          <w:szCs w:val="20"/>
        </w:rPr>
        <w:t>3 compressões para 1 ventilação.</w:t>
      </w:r>
    </w:p>
    <w:p w:rsidR="005546A1" w:rsidRPr="00211310" w:rsidRDefault="005546A1" w:rsidP="005546A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5546A1" w:rsidRPr="00211310" w:rsidSect="005546A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454" w:rsidRDefault="00400454" w:rsidP="00F24D13">
      <w:pPr>
        <w:spacing w:before="0" w:after="0"/>
      </w:pPr>
      <w:r>
        <w:separator/>
      </w:r>
    </w:p>
  </w:endnote>
  <w:endnote w:type="continuationSeparator" w:id="0">
    <w:p w:rsidR="00400454" w:rsidRDefault="00400454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211310" w:rsidRPr="00B20B48" w:rsidTr="00211310">
      <w:trPr>
        <w:trHeight w:val="286"/>
      </w:trPr>
      <w:tc>
        <w:tcPr>
          <w:tcW w:w="3472" w:type="pct"/>
        </w:tcPr>
        <w:p w:rsidR="00211310" w:rsidRPr="00B20B48" w:rsidRDefault="00211310" w:rsidP="00211310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ENFERMAGEM - 40H</w:t>
          </w:r>
        </w:p>
      </w:tc>
      <w:tc>
        <w:tcPr>
          <w:tcW w:w="209" w:type="pct"/>
        </w:tcPr>
        <w:p w:rsidR="00211310" w:rsidRPr="00B20B48" w:rsidRDefault="00211310" w:rsidP="00211310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211310" w:rsidRPr="00B20B48" w:rsidRDefault="00211310" w:rsidP="00211310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8B065E">
            <w:rPr>
              <w:noProof/>
              <w:sz w:val="16"/>
            </w:rPr>
            <w:t>9</w:t>
          </w:r>
          <w:r w:rsidRPr="00B20B48">
            <w:rPr>
              <w:sz w:val="16"/>
            </w:rPr>
            <w:fldChar w:fldCharType="end"/>
          </w:r>
        </w:p>
      </w:tc>
    </w:tr>
  </w:tbl>
  <w:p w:rsidR="00211310" w:rsidRPr="00FD21C8" w:rsidRDefault="00211310" w:rsidP="00211310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454" w:rsidRDefault="00400454" w:rsidP="00F24D13">
      <w:pPr>
        <w:spacing w:before="0" w:after="0"/>
      </w:pPr>
      <w:r>
        <w:separator/>
      </w:r>
    </w:p>
  </w:footnote>
  <w:footnote w:type="continuationSeparator" w:id="0">
    <w:p w:rsidR="00400454" w:rsidRDefault="00400454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Cabealho"/>
    </w:pPr>
  </w:p>
  <w:p w:rsidR="00211310" w:rsidRDefault="00211310">
    <w:pPr>
      <w:pStyle w:val="Cabealho"/>
    </w:pPr>
  </w:p>
  <w:p w:rsidR="00211310" w:rsidRDefault="00211310">
    <w:pPr>
      <w:pStyle w:val="Cabealho"/>
    </w:pPr>
  </w:p>
  <w:p w:rsidR="00211310" w:rsidRDefault="00211310">
    <w:pPr>
      <w:pStyle w:val="Cabealho"/>
    </w:pPr>
  </w:p>
  <w:p w:rsidR="00211310" w:rsidRDefault="0021131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Cabealho"/>
    </w:pPr>
  </w:p>
  <w:p w:rsidR="00211310" w:rsidRDefault="00211310">
    <w:pPr>
      <w:pStyle w:val="Cabealho"/>
    </w:pPr>
  </w:p>
  <w:p w:rsidR="00211310" w:rsidRDefault="00211310">
    <w:pPr>
      <w:pStyle w:val="Cabealho"/>
    </w:pPr>
  </w:p>
  <w:p w:rsidR="00211310" w:rsidRDefault="00211310">
    <w:pPr>
      <w:pStyle w:val="Cabealho"/>
    </w:pPr>
  </w:p>
  <w:p w:rsidR="00211310" w:rsidRDefault="00211310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Pr="00113B74" w:rsidRDefault="00211310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Default="00211310">
    <w:pPr>
      <w:pStyle w:val="Cabealho"/>
      <w:rPr>
        <w:sz w:val="16"/>
      </w:rPr>
    </w:pPr>
  </w:p>
  <w:p w:rsidR="00211310" w:rsidRPr="00113B74" w:rsidRDefault="00211310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 w:rsidP="00211310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211310" w:rsidRDefault="00211310" w:rsidP="00211310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10" w:rsidRDefault="0021131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9" type="#_x0000_t75" style="width:19.55pt;height:24.55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1310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0454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46A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42185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B3C0C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065E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14CF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5BEC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7AEE3-A501-474A-B29F-78E052217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4775</Words>
  <Characters>25789</Characters>
  <Application>Microsoft Office Word</Application>
  <DocSecurity>0</DocSecurity>
  <Lines>214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8</cp:revision>
  <cp:lastPrinted>2023-07-20T12:24:00Z</cp:lastPrinted>
  <dcterms:created xsi:type="dcterms:W3CDTF">2024-02-28T05:45:00Z</dcterms:created>
  <dcterms:modified xsi:type="dcterms:W3CDTF">2024-03-05T03:49:00Z</dcterms:modified>
</cp:coreProperties>
</file>